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26. óra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ind w:left="22" w:firstLine="0"/>
        <w:jc w:val="center"/>
        <w:rPr>
          <w:rFonts w:ascii="Garamond" w:cs="Garamond" w:eastAsia="Garamond" w:hAnsi="Garamond"/>
          <w:b w:val="1"/>
        </w:rPr>
      </w:pPr>
      <w:r w:rsidDel="00000000" w:rsidR="00000000" w:rsidRPr="00000000">
        <w:rPr>
          <w:rFonts w:ascii="Garamond" w:cs="Garamond" w:eastAsia="Garamond" w:hAnsi="Garamond"/>
          <w:b w:val="1"/>
          <w:rtl w:val="0"/>
        </w:rPr>
        <w:t xml:space="preserve">Digitalizáció a növényvédelemben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ind w:left="22" w:firstLine="0"/>
        <w:jc w:val="center"/>
        <w:rPr>
          <w:rFonts w:ascii="Garamond" w:cs="Garamond" w:eastAsia="Garamond" w:hAnsi="Garamond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ind w:left="22" w:firstLine="0"/>
        <w:jc w:val="center"/>
        <w:rPr>
          <w:rFonts w:ascii="Garamond" w:cs="Garamond" w:eastAsia="Garamond" w:hAnsi="Garamond"/>
          <w:b w:val="1"/>
        </w:rPr>
      </w:pPr>
      <w:r w:rsidDel="00000000" w:rsidR="00000000" w:rsidRPr="00000000">
        <w:rPr>
          <w:rFonts w:ascii="Garamond" w:cs="Garamond" w:eastAsia="Garamond" w:hAnsi="Garamond"/>
          <w:b w:val="1"/>
          <w:rtl w:val="0"/>
        </w:rPr>
        <w:t xml:space="preserve">Videó: </w:t>
      </w:r>
      <w:hyperlink r:id="rId6">
        <w:r w:rsidDel="00000000" w:rsidR="00000000" w:rsidRPr="00000000">
          <w:rPr>
            <w:rFonts w:ascii="Roboto" w:cs="Roboto" w:eastAsia="Roboto" w:hAnsi="Roboto"/>
            <w:b w:val="1"/>
            <w:sz w:val="36"/>
            <w:szCs w:val="36"/>
            <w:rtl w:val="0"/>
          </w:rPr>
          <w:t xml:space="preserve">https://youtu.be/LO06c_2t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40" w:lineRule="auto"/>
        <w:ind w:left="22" w:firstLine="0"/>
        <w:rPr>
          <w:rFonts w:ascii="Garamond" w:cs="Garamond" w:eastAsia="Garamond" w:hAnsi="Garamond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növényvédelem a növényi károsítók leküzdésére irányuló tevékenység, melynek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célja a jó minőségű és gazdaságos termék előállítás, a környezetvédelem maximális figyelembevételével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A növénytermesztés több évtizedes múltja során – az adott kor technikai színvonalának megfelelő módszerek és stratégiák alakultak ki, pl. a konvencionális gazdálkodás, az iparszerű növényvédelem és a ma világszerte elfogadott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integrált növényvédelem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precíziós növényvédelem a digitális agrárstratégia alapelveit veszi figyelembe, módszerei az integrált elvekbe ágyazódnak, de egyre nagyobb mértékben felfedezhetők az egyes elemei az ökogazdálkodásban is.</w:t>
      </w:r>
    </w:p>
    <w:p w:rsidR="00000000" w:rsidDel="00000000" w:rsidP="00000000" w:rsidRDefault="00000000" w:rsidRPr="00000000" w14:paraId="00000008">
      <w:pPr>
        <w:widowControl w:val="0"/>
        <w:spacing w:line="240" w:lineRule="auto"/>
        <w:ind w:left="22" w:firstLine="0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Az integrált növényvédelem alappillérei: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360" w:lineRule="auto"/>
        <w:ind w:left="720" w:hanging="360"/>
        <w:jc w:val="both"/>
        <w:rPr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 prevenció (amely szükségessé teszi a károsítók felvételezését, szignalizációját, előrejelzését és egyéb prevenciós módszerek alkalmazását)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360" w:lineRule="auto"/>
        <w:ind w:left="720" w:hanging="360"/>
        <w:jc w:val="both"/>
        <w:rPr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 nem vegyszeres védekezési módszerek prioritásának betartása (agrotechnikai, fizikai, biológiai stb.)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360" w:lineRule="auto"/>
        <w:ind w:left="720" w:hanging="360"/>
        <w:jc w:val="both"/>
        <w:rPr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 veszélyes küszöbérték figyelembevétele a védekezéseknél</w:t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Mindhárom fenti alapkövetelmény betartását segítik és támogatják a precíziós módszerek.</w:t>
      </w:r>
    </w:p>
    <w:p w:rsidR="00000000" w:rsidDel="00000000" w:rsidP="00000000" w:rsidRDefault="00000000" w:rsidRPr="00000000" w14:paraId="0000000E">
      <w:pPr>
        <w:widowControl w:val="0"/>
        <w:spacing w:line="240" w:lineRule="auto"/>
        <w:ind w:left="22" w:firstLine="0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precíziós növényvédelem önmagában alig valósítható meg, szükséges a növénytermesztés minden munkafázisának minőségi elvégzése a talaj-előkészítéstől a betakarításig. </w:t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precíziós növényvédelmi módszerek kidolgozása és gyakorlati bevezetése egyrészt azért is szükséges és sürgős feladat, mert az Európai Unióban az illetékes szakbizottságok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jelentősen csökkentik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felhasználható kémiai hatóanyagok számát, másrészt felgyorsult a kémiai hatóanyagokkal szemben kialakuló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rezisztencia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károsítószervezetekben. </w:t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növényeket károsító szervezetek a mezőgazdasági területeken (szántóföldi táblákon)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heterogén előfordulást mutatnak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Vannak károsítómentes területek, és léteznek különböző mértékben előforduló kórokozók, kártevő állatok és gyomnövények. A precíziós módszerek bevezetése előtt a védekezési technológiák táblaszinten történtek, ott is védekeztünk, ahol nem volt indokolt, és ez költségnövekedéssel és környezetszennyezéssel járt. A precíziós növényvédelem módszerei ezt az ellentmondást oldják fel. </w:t>
      </w:r>
    </w:p>
    <w:p w:rsidR="00000000" w:rsidDel="00000000" w:rsidP="00000000" w:rsidRDefault="00000000" w:rsidRPr="00000000" w14:paraId="00000012">
      <w:pPr>
        <w:widowControl w:val="0"/>
        <w:spacing w:line="240" w:lineRule="auto"/>
        <w:ind w:left="22" w:firstLine="0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line="240" w:lineRule="auto"/>
        <w:ind w:left="22" w:firstLine="0"/>
        <w:rPr>
          <w:rFonts w:ascii="Garamond" w:cs="Garamond" w:eastAsia="Garamond" w:hAnsi="Garamond"/>
          <w:b w:val="1"/>
        </w:rPr>
      </w:pPr>
      <w:r w:rsidDel="00000000" w:rsidR="00000000" w:rsidRPr="00000000">
        <w:rPr>
          <w:rFonts w:ascii="Garamond" w:cs="Garamond" w:eastAsia="Garamond" w:hAnsi="Garamond"/>
          <w:b w:val="1"/>
        </w:rPr>
        <w:drawing>
          <wp:inline distB="114300" distT="114300" distL="114300" distR="114300">
            <wp:extent cx="5731200" cy="3225800"/>
            <wp:effectExtent b="0" l="0" r="0" t="0"/>
            <wp:docPr id="9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2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Növényvédelmi kezelések lehetséges térbeni felbontása: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Egyedszintű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kezelések összekapcsolódnak a valós idejű, online módszerek fejlődésével. Alapjukat fajfelismerésen alapuló technológia képezheti, jelenleg elsősorban a kertészeti kultúrákban használhatók.</w:t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Rácsháló alapú,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kezelésüzemi méretben eredményesen használható precíziós technológia. Ennek a precíziós gyomszabályozási módszernek hazai fejlesztését és üzemi szinten használható komplett technológiájának hazai kidolgozását végezték el a 2000-es évek elején. </w:t>
      </w:r>
    </w:p>
    <w:p w:rsidR="00000000" w:rsidDel="00000000" w:rsidP="00000000" w:rsidRDefault="00000000" w:rsidRPr="00000000" w14:paraId="00000017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Táblarész-kezelés: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gyakrabban használják a gazdálkodók, elsősorban a táblaszéleken jelentkező gyomnyomás megelőzésére. Ide sorolhatjuk még a táblában nagy, aggregált foltokban megjelenő gyomnövények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(pl. Cirsium arvense)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elleni védekezést vagy akár a parlagfű (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Ambrosia artemisiifolia)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elleni lokális védekezéseket. Ma már rendelkezünk olyan szoftverekkel, amelyek virtuálisan létrehoznak azonos tulajdonságokkal rendelkező táblarészeket (poligon, menedzsmentzónák), amelyek azonos típusú védekezésben részesülhetnek. A védekezés hatékonyságát a munkagépek szórásszélességének változtatásával növelhetjük (keretszakaszolás).</w:t>
      </w:r>
    </w:p>
    <w:p w:rsidR="00000000" w:rsidDel="00000000" w:rsidP="00000000" w:rsidRDefault="00000000" w:rsidRPr="00000000" w14:paraId="00000018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Táblaszintű kezelés: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jelenleg is a legáltalánosabban használt módszernek tekinthető. Ennek a fajta technológiának az alkalmazása jár a legkisebb kockázattal és a legkevesebb fáradtsággal a termelő és a szaktanácsadók számára, az inputanyag oldaláról nézve viszont ez a legköltségesebb. Valójában nem nevezhető helyspecifikus módszernek.</w:t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(Christensen et al., 2009)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A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 Precíziós kijuttatási technika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C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precíziós műveleteket magas elektronikai felszereltséggel ellátott permetezőgépek és egyéb munkagépek valósítják meg. A pozicionálást elősegítő jelvevő berendezéseket általában a traktorra, esetenként a munkagépekre szerelik fel. A fontos részleteket nem szabad szem elől téveszteni, pl. a traktor vezetőfülkéjén elhelyezett vevő és a munkagép (permetezőgép-szórókeret) távolságát előre be kell programozni, sok egyéb részlet is adódik, amelyeket a specialista szerelők könnyűszerrel megoldanak. </w:t>
      </w:r>
    </w:p>
    <w:p w:rsidR="00000000" w:rsidDel="00000000" w:rsidP="00000000" w:rsidRDefault="00000000" w:rsidRPr="00000000" w14:paraId="0000001D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 helyspecifikus permetezéshez az alábbi felszereltség szükséges:</w:t>
      </w:r>
    </w:p>
    <w:p w:rsidR="00000000" w:rsidDel="00000000" w:rsidP="00000000" w:rsidRDefault="00000000" w:rsidRPr="00000000" w14:paraId="0000001E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RTK alapú pontos sorvezetés: 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redményeképpen átfedés, kihagyás nélkül kivitelezhetők a növényvédelmi műveletek.</w:t>
      </w:r>
    </w:p>
    <w:p w:rsidR="00000000" w:rsidDel="00000000" w:rsidP="00000000" w:rsidRDefault="00000000" w:rsidRPr="00000000" w14:paraId="0000001F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Automatikus szakaszkezelés: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átfedés/kihagyás minimalizálására alkalmas rendszerek. Alapja, hogy a korábban manuálisan működtetett szakaszokra bontott mágnesszelepeket, a már permetezett és fedett területrészeken GPS alapján automatikusan a fedélzeti számítógép működteti. A szakaszkezelés legmodernebb eszközei már fúvókánként működtethetők.</w:t>
      </w:r>
    </w:p>
    <w:p w:rsidR="00000000" w:rsidDel="00000000" w:rsidP="00000000" w:rsidRDefault="00000000" w:rsidRPr="00000000" w14:paraId="00000020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Közvetlen vegyszer befecskendező rendszer: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alapja, hogy a tömény vegyszer nem a kijuttatáshoz használt vízhez, hanem külön tartályba kerül, ahonnan kalibrálás után történik meg a befecskendezés a vízáramba. </w:t>
      </w:r>
    </w:p>
    <w:p w:rsidR="00000000" w:rsidDel="00000000" w:rsidP="00000000" w:rsidRDefault="00000000" w:rsidRPr="00000000" w14:paraId="00000021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Súlyos elmaradás tapasztalható a második pontban megfogalmazott algoritmusok megfogalmazása esetében, és sajnálatos módon ki kell jelentenünk, hogy a növénytermesztés néhány fontos munkafázisainak specialistái és fejlesztői még ma sem gondolták át ennek a kutatási iránynak a jövőbeli jelentőségét. </w:t>
      </w:r>
    </w:p>
    <w:p w:rsidR="00000000" w:rsidDel="00000000" w:rsidP="00000000" w:rsidRDefault="00000000" w:rsidRPr="00000000" w14:paraId="00000022">
      <w:pPr>
        <w:widowControl w:val="0"/>
        <w:spacing w:line="240" w:lineRule="auto"/>
        <w:ind w:left="22" w:firstLine="0"/>
        <w:rPr>
          <w:rFonts w:ascii="Garamond" w:cs="Garamond" w:eastAsia="Garamond" w:hAnsi="Garamond"/>
          <w:b w:val="1"/>
        </w:rPr>
      </w:pPr>
      <w:r w:rsidDel="00000000" w:rsidR="00000000" w:rsidRPr="00000000">
        <w:rPr>
          <w:rFonts w:ascii="Garamond" w:cs="Garamond" w:eastAsia="Garamond" w:hAnsi="Garamond"/>
          <w:b w:val="1"/>
        </w:rPr>
        <w:drawing>
          <wp:inline distB="114300" distT="114300" distL="114300" distR="114300">
            <wp:extent cx="5731200" cy="3225800"/>
            <wp:effectExtent b="0" l="0" r="0" t="0"/>
            <wp:docPr id="4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2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line="240" w:lineRule="auto"/>
        <w:ind w:left="22" w:firstLine="0"/>
        <w:rPr>
          <w:rFonts w:ascii="Garamond" w:cs="Garamond" w:eastAsia="Garamond" w:hAnsi="Garamond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line="240" w:lineRule="auto"/>
        <w:ind w:left="22" w:firstLine="0"/>
        <w:rPr>
          <w:rFonts w:ascii="Garamond" w:cs="Garamond" w:eastAsia="Garamond" w:hAnsi="Garamond"/>
          <w:b w:val="1"/>
        </w:rPr>
      </w:pPr>
      <w:r w:rsidDel="00000000" w:rsidR="00000000" w:rsidRPr="00000000">
        <w:rPr>
          <w:rFonts w:ascii="Garamond" w:cs="Garamond" w:eastAsia="Garamond" w:hAnsi="Garamond"/>
          <w:b w:val="1"/>
        </w:rPr>
        <w:drawing>
          <wp:inline distB="114300" distT="114300" distL="114300" distR="114300">
            <wp:extent cx="5731200" cy="3225800"/>
            <wp:effectExtent b="0" l="0" r="0" t="0"/>
            <wp:docPr id="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2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line="240" w:lineRule="auto"/>
        <w:ind w:left="22" w:firstLine="0"/>
        <w:rPr>
          <w:rFonts w:ascii="Garamond" w:cs="Garamond" w:eastAsia="Garamond" w:hAnsi="Garamond"/>
          <w:b w:val="1"/>
        </w:rPr>
      </w:pPr>
      <w:r w:rsidDel="00000000" w:rsidR="00000000" w:rsidRPr="00000000">
        <w:rPr>
          <w:rFonts w:ascii="Garamond" w:cs="Garamond" w:eastAsia="Garamond" w:hAnsi="Garamond"/>
          <w:b w:val="1"/>
        </w:rPr>
        <w:drawing>
          <wp:inline distB="114300" distT="114300" distL="114300" distR="114300">
            <wp:extent cx="5731200" cy="3225800"/>
            <wp:effectExtent b="0" l="0" r="0" t="0"/>
            <wp:docPr id="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2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helyspecifikus gyomirtás alkalmazására elsősorban a levélherbicidekel végzett kezelés esetén van lehetőség, mivel a gyomkelés a permetezés idejére megtörténik, és azonosításukra megvan a lehetőség.</w:t>
      </w:r>
    </w:p>
    <w:p w:rsidR="00000000" w:rsidDel="00000000" w:rsidP="00000000" w:rsidRDefault="00000000" w:rsidRPr="00000000" w14:paraId="00000027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A gyomfelvételezésről általában.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Ujvárosi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(1973) szerint a gyomirtás (gyomszabályozás) csak akkor lehet eredményes, ha ismerjük a táblán előforduló gyomfajokat és azok mennyiségi viszonyait. Hozzátesszük, hogy a precíziós gyomszabályozásnál ennél többre van szükség: ismerni kell a gyomfajok térbeli elhelyezkedését is.</w:t>
      </w:r>
    </w:p>
    <w:p w:rsidR="00000000" w:rsidDel="00000000" w:rsidP="00000000" w:rsidRDefault="00000000" w:rsidRPr="00000000" w14:paraId="00000029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gyomfelvételezésekre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egzakt és becslési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módszerek állnak a rendelkezésünkre. Az előbbieket a tudományos kutatásoknál használjuk: megszámoljuk egy területegységre jutó gyomfaj(ok) egyedszámát, lemérjük a nedves és a légszáraz súlyát stb. Ezek az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egzakt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módszerek időigényesek, elvégzésükhöz különböző eszközökre van szükség. 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gyakorlatban a becslési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módszereket használjuk, mert azokat – megfelelő begyakorlással – könnyebben végre tudjuk hajtani. </w:t>
      </w:r>
    </w:p>
    <w:p w:rsidR="00000000" w:rsidDel="00000000" w:rsidP="00000000" w:rsidRDefault="00000000" w:rsidRPr="00000000" w14:paraId="0000002A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Az elmúlt évtizedekben nagy gondot fordítottunk arra, hogy a Magyarországon közismert, becslésen alapuló Balázs-Ujvárosi gyomfelvételezési módszert alkalmassá tegyük a precíziós gyomszabályozás tervezésére és végrehajtására, kalászosgabona-kultúrákban. </w:t>
      </w:r>
    </w:p>
    <w:p w:rsidR="00000000" w:rsidDel="00000000" w:rsidP="00000000" w:rsidRDefault="00000000" w:rsidRPr="00000000" w14:paraId="0000002B">
      <w:pPr>
        <w:widowControl w:val="0"/>
        <w:spacing w:line="240" w:lineRule="auto"/>
        <w:rPr>
          <w:rFonts w:ascii="Garamond" w:cs="Garamond" w:eastAsia="Garamond" w:hAnsi="Garamond"/>
          <w:b w:val="1"/>
        </w:rPr>
      </w:pPr>
      <w:r w:rsidDel="00000000" w:rsidR="00000000" w:rsidRPr="00000000">
        <w:rPr>
          <w:rFonts w:ascii="Garamond" w:cs="Garamond" w:eastAsia="Garamond" w:hAnsi="Garamond"/>
          <w:b w:val="1"/>
        </w:rPr>
        <w:drawing>
          <wp:inline distB="114300" distT="114300" distL="114300" distR="114300">
            <wp:extent cx="5731200" cy="3225800"/>
            <wp:effectExtent b="0" l="0" r="0" t="0"/>
            <wp:docPr id="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2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line="240" w:lineRule="auto"/>
        <w:rPr>
          <w:rFonts w:ascii="Garamond" w:cs="Garamond" w:eastAsia="Garamond" w:hAnsi="Garamond"/>
          <w:b w:val="1"/>
        </w:rPr>
      </w:pPr>
      <w:r w:rsidDel="00000000" w:rsidR="00000000" w:rsidRPr="00000000">
        <w:rPr>
          <w:rFonts w:ascii="Garamond" w:cs="Garamond" w:eastAsia="Garamond" w:hAnsi="Garamond"/>
          <w:b w:val="1"/>
        </w:rPr>
        <w:drawing>
          <wp:inline distB="114300" distT="114300" distL="114300" distR="114300">
            <wp:extent cx="5731200" cy="32258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2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line="240" w:lineRule="auto"/>
        <w:rPr>
          <w:rFonts w:ascii="Garamond" w:cs="Garamond" w:eastAsia="Garamond" w:hAnsi="Garamond"/>
          <w:b w:val="1"/>
        </w:rPr>
      </w:pPr>
      <w:r w:rsidDel="00000000" w:rsidR="00000000" w:rsidRPr="00000000">
        <w:rPr>
          <w:rFonts w:ascii="Garamond" w:cs="Garamond" w:eastAsia="Garamond" w:hAnsi="Garamond"/>
          <w:b w:val="1"/>
        </w:rPr>
        <w:drawing>
          <wp:inline distB="114300" distT="114300" distL="114300" distR="114300">
            <wp:extent cx="5731200" cy="3225800"/>
            <wp:effectExtent b="0" l="0" r="0" t="0"/>
            <wp:docPr id="6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2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nságosan ható, a kultúrnövényt nem károsító, totális (pl. glifozát tartalmú) herbiciddel (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Reisinger - Borsiczky 2009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). Eddig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Cydodon dactylon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és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Sorghum halepense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évelő gyomfajok ellen végeztünk vizsgálatokat. Vizsgáltuk a herbicid hatékonyságot, az elsodródási tulajdonságokat és a kedvező növényfenológiai állapotot. A Weed Seeker szórófejeket különböző eszközökkel árnyékoljuk a permetlé elsodródásának megakadályozása céljából. A helyspecifikus, levél alá történő permetezési eljárás megoldás lehet azokon a napraforgótáblákon, ahol a parlagfű elleni védekezés hatástalan volt. A 2016-ban beállított kísérleteinkben hidas traktorra szereltük fel a védőlemezzel ellátott szórófejeket, így még a napraforgó virágzása előtt védekezni tudtunk a sorközökben lévő, fejlett parlagfűegyedek ellen (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Domonkos et al. 2016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2F">
      <w:pPr>
        <w:widowControl w:val="0"/>
        <w:spacing w:line="240" w:lineRule="auto"/>
        <w:rPr>
          <w:rFonts w:ascii="Garamond" w:cs="Garamond" w:eastAsia="Garamond" w:hAnsi="Garamond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line="240" w:lineRule="auto"/>
        <w:rPr>
          <w:rFonts w:ascii="Garamond" w:cs="Garamond" w:eastAsia="Garamond" w:hAnsi="Garamond"/>
          <w:b w:val="1"/>
        </w:rPr>
      </w:pPr>
      <w:r w:rsidDel="00000000" w:rsidR="00000000" w:rsidRPr="00000000">
        <w:rPr>
          <w:rFonts w:ascii="Garamond" w:cs="Garamond" w:eastAsia="Garamond" w:hAnsi="Garamond"/>
          <w:b w:val="1"/>
        </w:rPr>
        <w:drawing>
          <wp:inline distB="114300" distT="114300" distL="114300" distR="114300">
            <wp:extent cx="5731200" cy="3225800"/>
            <wp:effectExtent b="0" l="0" r="0" t="0"/>
            <wp:docPr id="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2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spacing w:line="240" w:lineRule="auto"/>
        <w:rPr>
          <w:rFonts w:ascii="Garamond" w:cs="Garamond" w:eastAsia="Garamond" w:hAnsi="Garamond"/>
          <w:b w:val="1"/>
        </w:rPr>
      </w:pPr>
      <w:r w:rsidDel="00000000" w:rsidR="00000000" w:rsidRPr="00000000">
        <w:rPr>
          <w:rFonts w:ascii="Garamond" w:cs="Garamond" w:eastAsia="Garamond" w:hAnsi="Garamond"/>
          <w:b w:val="1"/>
        </w:rPr>
        <w:drawing>
          <wp:inline distB="114300" distT="114300" distL="114300" distR="114300">
            <wp:extent cx="5731200" cy="3225800"/>
            <wp:effectExtent b="0" l="0" r="0" t="0"/>
            <wp:docPr id="2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2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Garamond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Times New Roman" w:cs="Times New Roman" w:eastAsia="Times New Roman" w:hAnsi="Times New Roman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Times New Roman" w:cs="Times New Roman" w:eastAsia="Times New Roman" w:hAnsi="Times New Roman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Times New Roman" w:cs="Times New Roman" w:eastAsia="Times New Roman" w:hAnsi="Times New Roman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Times New Roman" w:cs="Times New Roman" w:eastAsia="Times New Roman" w:hAnsi="Times New Roman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Times New Roman" w:cs="Times New Roman" w:eastAsia="Times New Roman" w:hAnsi="Times New Roman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Times New Roman" w:cs="Times New Roman" w:eastAsia="Times New Roman" w:hAnsi="Times New Roman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Times New Roman" w:cs="Times New Roman" w:eastAsia="Times New Roman" w:hAnsi="Times New Roman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h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png"/><Relationship Id="rId10" Type="http://schemas.openxmlformats.org/officeDocument/2006/relationships/image" Target="media/image2.png"/><Relationship Id="rId13" Type="http://schemas.openxmlformats.org/officeDocument/2006/relationships/image" Target="media/image7.png"/><Relationship Id="rId12" Type="http://schemas.openxmlformats.org/officeDocument/2006/relationships/image" Target="media/image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15" Type="http://schemas.openxmlformats.org/officeDocument/2006/relationships/image" Target="media/image8.png"/><Relationship Id="rId14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hyperlink" Target="https://youtu.be/LO06c_2tC5g" TargetMode="External"/><Relationship Id="rId7" Type="http://schemas.openxmlformats.org/officeDocument/2006/relationships/image" Target="media/image6.png"/><Relationship Id="rId8" Type="http://schemas.openxmlformats.org/officeDocument/2006/relationships/image" Target="media/image9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Garamond-regular.ttf"/><Relationship Id="rId6" Type="http://schemas.openxmlformats.org/officeDocument/2006/relationships/font" Target="fonts/Garamond-bold.ttf"/><Relationship Id="rId7" Type="http://schemas.openxmlformats.org/officeDocument/2006/relationships/font" Target="fonts/Garamond-italic.ttf"/><Relationship Id="rId8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